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 L’AJUNTAMENT DE BARCELONA</w:t>
      </w:r>
    </w:p>
    <w:p w:rsidR="00000000" w:rsidDel="00000000" w:rsidP="00000000" w:rsidRDefault="00000000" w:rsidRPr="00000000" w14:paraId="00000004">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GERÈNCIA DE RECURSOS HUMANS</w:t>
      </w:r>
    </w:p>
    <w:p w:rsidR="00000000" w:rsidDel="00000000" w:rsidP="00000000" w:rsidRDefault="00000000" w:rsidRPr="00000000" w14:paraId="00000005">
      <w:pPr>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En/na ..... major d’edat, amb DNI número ....., treballador d’aquest Ajuntament, compareix i </w:t>
      </w:r>
      <w:r w:rsidDel="00000000" w:rsidR="00000000" w:rsidRPr="00000000">
        <w:rPr>
          <w:rFonts w:ascii="Arial" w:cs="Arial" w:eastAsia="Arial" w:hAnsi="Arial"/>
          <w:b w:val="1"/>
          <w:bCs w:val="1"/>
          <w:sz w:val="24"/>
          <w:szCs w:val="24"/>
          <w:rtl w:val="0"/>
        </w:rPr>
        <w:t xml:space="preserve">MANIFESTA:</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ha rebut l’ingrés corresponent a la nòmina del mes d’abril d’enguany, que inclou el complement de productivitat, i en temps i forma formula reclamació (que caldrà entendre, en el seu cas,  com a Recurs Administratiu) en front de la mateixa i ho fa en base als següents  </w:t>
      </w:r>
      <w:r w:rsidDel="00000000" w:rsidR="00000000" w:rsidRPr="00000000">
        <w:rPr>
          <w:rFonts w:ascii="Arial" w:cs="Arial" w:eastAsia="Arial" w:hAnsi="Arial"/>
          <w:b w:val="1"/>
          <w:bCs w:val="1"/>
          <w:sz w:val="24"/>
          <w:szCs w:val="24"/>
          <w:rtl w:val="0"/>
        </w:rPr>
        <w:t xml:space="preserve">MOTIUS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PRIMER.- </w:t>
      </w:r>
      <w:r w:rsidDel="00000000" w:rsidR="00000000" w:rsidRPr="00000000">
        <w:rPr>
          <w:rFonts w:ascii="Arial" w:cs="Arial" w:eastAsia="Arial" w:hAnsi="Arial"/>
          <w:sz w:val="24"/>
          <w:szCs w:val="24"/>
          <w:rtl w:val="0"/>
        </w:rPr>
        <w:t xml:space="preserve">En relació al complement de productivitat de l’any 2025, regulat per l’anterior acord de condicions laborals vigent fins el 31 de desembre de 2025, determina, en relació a l’objecte del present, que: </w:t>
      </w:r>
    </w:p>
    <w:p w:rsidR="00000000" w:rsidDel="00000000" w:rsidP="00000000" w:rsidRDefault="00000000" w:rsidRPr="00000000" w14:paraId="00000009">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5.5.2 Es detreu una dotzena part del primer import del factor de productivitat anual de l’apartat 5.5.1 per qualsevol absència diària del lloc de treball i per cada mes en que es produeixi, a excepció que l'esmentada falta d'assistència sigui a causa d'alguna de les circumstàncies que tot seguit s'indiquen: </w:t>
      </w:r>
    </w:p>
    <w:p w:rsidR="00000000" w:rsidDel="00000000" w:rsidP="00000000" w:rsidRDefault="00000000" w:rsidRPr="00000000" w14:paraId="0000000A">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Vacances i gaudiment del permís per assumptes propis. </w:t>
      </w:r>
    </w:p>
    <w:p w:rsidR="00000000" w:rsidDel="00000000" w:rsidP="00000000" w:rsidRDefault="00000000" w:rsidRPr="00000000" w14:paraId="0000000B">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Una absència per indisposició. </w:t>
      </w:r>
    </w:p>
    <w:p w:rsidR="00000000" w:rsidDel="00000000" w:rsidP="00000000" w:rsidRDefault="00000000" w:rsidRPr="00000000" w14:paraId="0000000C">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Aquells permisos i llicències que es detallen a l'articulat de l’acord de condicions de treball, tret dels que es declaren explícitament amb detracció per aquest concepte.</w:t>
      </w:r>
    </w:p>
    <w:p w:rsidR="00000000" w:rsidDel="00000000" w:rsidP="00000000" w:rsidRDefault="00000000" w:rsidRPr="00000000" w14:paraId="0000000D">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Prestació per naixement per a la mare biològica, de l’altre progenitor diferent de la mare biològica, adopció, per guarda amb finalitats d’adopció, o acolliment, tant temporal com permanent, accidents laborals i malalties professionals en tota la seva extensió. </w:t>
      </w:r>
    </w:p>
    <w:p w:rsidR="00000000" w:rsidDel="00000000" w:rsidP="00000000" w:rsidRDefault="00000000" w:rsidRPr="00000000" w14:paraId="0000000E">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Baixes per malaltia comuna, fins al desè  dia inclòs, o per intervenció quirúrgica, fins a trenta dies. Les baixes mèdiques superiors a 10 dies comporten el descompte corresponent a un mes, excepte que, a causa de la durada, excedeixin de deu dies en cada un dels períodes mensuals correlatius; en aquest cas, el descompte es fa per cadascun d'aquests períodes </w:t>
      </w:r>
    </w:p>
    <w:p w:rsidR="00000000" w:rsidDel="00000000" w:rsidP="00000000" w:rsidRDefault="00000000" w:rsidRPr="00000000" w14:paraId="0000000F">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Baixes mèdiques durant l’embaràs produïdes en un mes i les baixes durant l’embaràs en que concorren causes acreditades que impedeixen la normal recuperació. </w:t>
      </w:r>
    </w:p>
    <w:p w:rsidR="00000000" w:rsidDel="00000000" w:rsidP="00000000" w:rsidRDefault="00000000" w:rsidRPr="00000000" w14:paraId="00000010">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Baixes mèdiques derivades de violència de gènere. </w:t>
      </w:r>
    </w:p>
    <w:p w:rsidR="00000000" w:rsidDel="00000000" w:rsidP="00000000" w:rsidRDefault="00000000" w:rsidRPr="00000000" w14:paraId="00000011">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Baixes per intervencions quirúrgiques derivades del procés de transició de gènere. </w:t>
      </w:r>
    </w:p>
    <w:p w:rsidR="00000000" w:rsidDel="00000000" w:rsidP="00000000" w:rsidRDefault="00000000" w:rsidRPr="00000000" w14:paraId="00000012">
      <w:pPr>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Baixes de les víctimes d’atemptat terrorista</w:t>
      </w:r>
    </w:p>
    <w:p w:rsidR="00000000" w:rsidDel="00000000" w:rsidP="00000000" w:rsidRDefault="00000000" w:rsidRPr="00000000" w14:paraId="000000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l’empara d’aquest precepte, s’ha procedit a descomptar el temps que he estat d’incapacitat temporal i se m’ha abonat menys import que el que tinc dret a percebre, penalitzant doncs de manera injustificada i discriminatòria la meva situació d’incapacitat temporal.</w:t>
      </w:r>
    </w:p>
    <w:p w:rsidR="00000000" w:rsidDel="00000000" w:rsidP="00000000" w:rsidRDefault="00000000" w:rsidRPr="00000000" w14:paraId="00000014">
      <w:pPr>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SEGON.- </w:t>
      </w:r>
      <w:r w:rsidDel="00000000" w:rsidR="00000000" w:rsidRPr="00000000">
        <w:rPr>
          <w:rFonts w:ascii="Arial" w:cs="Arial" w:eastAsia="Arial" w:hAnsi="Arial"/>
          <w:sz w:val="24"/>
          <w:szCs w:val="24"/>
          <w:rtl w:val="0"/>
        </w:rPr>
        <w:t xml:space="preserve"> Les baixes mèdiques no poden afectar el cobrament del complement de productivitat i d’assistència ja que això comporta una  pràctica nul·la per discriminatòria, tal i com ho ha declarat l'Audiència Nacional en sentència 18/2024, de 13 de febrer, en desenvolupament d’allò que va preveure i regula la Llei 15/2022 del 12 de juliol integral per a la igualtat de tracte i la no discriminació que, entre d’altres causes que la provoquen, cita de manera expressa les raons de salut i de discapacitat, per això caldrà considerar nul·la la clàusula que s’ha transcrit. </w:t>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TERCER.- </w:t>
      </w:r>
      <w:r w:rsidDel="00000000" w:rsidR="00000000" w:rsidRPr="00000000">
        <w:rPr>
          <w:rFonts w:ascii="Arial" w:cs="Arial" w:eastAsia="Arial" w:hAnsi="Arial"/>
          <w:sz w:val="24"/>
          <w:szCs w:val="24"/>
          <w:rtl w:val="0"/>
        </w:rPr>
        <w:t xml:space="preserve"> La productivitat i l’assistència, doncs, no poden estar lligades a situacions que en igualtat de condicions  provoquin un tracte desfavorable per raons de salut, com està passant a aquest Ajuntament, en el que es detrau un import de manera injustificada a qui, sense tenir capacitat de control sobre la mateixa, es troba en situació d’incapacitat temporal.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mitjà del present, doncs, sol·licita percebre el 100% del complement, sense que es detregui del mateix l’import corresponent als dies en que ha romàs en situació d’incapacitat temporal, en el cas de qui signa entre ..... i ...... i que ha suposat un descompte indegut de ..... €.</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 això,</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SOL·LICITO </w:t>
      </w:r>
      <w:r w:rsidDel="00000000" w:rsidR="00000000" w:rsidRPr="00000000">
        <w:rPr>
          <w:rFonts w:ascii="Arial" w:cs="Arial" w:eastAsia="Arial" w:hAnsi="Arial"/>
          <w:sz w:val="24"/>
          <w:szCs w:val="24"/>
          <w:rtl w:val="0"/>
        </w:rPr>
        <w:t xml:space="preserve"> tingueu per presentat aquest escrit i per formulada petició d’abonament del complement de productivitat i assistència a raó dels dies efectivament treballats, sense descomptes per situacions d’incapacitat temporal, petició que en el cas que s’entengui que així procedeix, tindrà el caràcter de Recurs administratiu en front de la nòmina del mes d’abril de 2026. </w:t>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Barcelona, el ___ de _____ de 2026.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21ebdIDrbeys4eHnbvQJP/wQ5A==">CgMxLjA4AHIhMUZya2lhcHlWNVE1cXdSREI4ZFRrTUU4WVE3aTF3MDJR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